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房 屋 赠 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亲属赠与：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1、房土两证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2、身份证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3、户口本（必须在同一本，体现直系亲属关系）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若不在同一户口本，请提供相关单位出示亲属关系证明书。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4、赠与合同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5、若该房为房改房需提供上市交易申请表，房改所属人到场面签。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二、夫妻赠与：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1、房土两证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2、身份证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3、结婚证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4、赠与合同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5、若该房为房改房需提供上市交易申请表，房改所属人到场面签。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☆以上材料原件 复印件 各一份用于核实。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A8C1"/>
    <w:multiLevelType w:val="singleLevel"/>
    <w:tmpl w:val="49BAA8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03E6"/>
    <w:rsid w:val="26C903E6"/>
    <w:rsid w:val="2A0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陈仕贵</dc:creator>
  <cp:lastModifiedBy>陈仕贵</cp:lastModifiedBy>
  <dcterms:modified xsi:type="dcterms:W3CDTF">2021-03-11T10:19:38Z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